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26-183</w:t>
      </w:r>
    </w:p>
    <w:p>
      <w:pPr>
        <w:spacing w:before="0" w:after="0" w:line="480"/>
        <w:ind w:left="120"/>
        <w:jc w:val="left"/>
      </w:pPr>
    </w:p>
    <w:p>
      <w:pPr>
        <w:spacing w:before="0" w:after="0" w:line="480"/>
        <w:ind w:left="120"/>
        <w:jc w:val="center"/>
      </w:pPr>
      <w:r>
        <w:rPr>
          <w:rFonts w:ascii="Times New Roman" w:hAnsi="Times New Roman"/>
          <w:b/>
          <w:i w:val="false"/>
          <w:color w:val="000000"/>
          <w:sz w:val="28"/>
        </w:rPr>
        <w:t>TRANSPORTATION DEPARTMENT[761]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subrule 480.5(2)</w:t>
      </w:r>
    </w:p>
    <w:p>
      <w:pPr>
        <w:spacing w:before="0" w:after="0" w:line="480"/>
        <w:ind w:left="120"/>
        <w:jc w:val="center"/>
      </w:pPr>
      <w:r>
        <w:rPr>
          <w:rFonts w:ascii="Times New Roman" w:hAnsi="Times New Roman"/>
          <w:b w:val="false"/>
          <w:i w:val="false"/>
          <w:color w:val="000000"/>
          <w:sz w:val="24"/>
        </w:rPr>
        <w:t>“Documentation”</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321.89</w:t>
      </w:r>
    </w:p>
    <w:p>
      <w:pPr>
        <w:spacing w:before="0" w:after="0" w:line="480"/>
        <w:ind w:left="120"/>
        <w:jc w:val="both"/>
      </w:pPr>
      <w:r>
        <w:rPr>
          <w:rFonts w:ascii="Times New Roman" w:hAnsi="Times New Roman"/>
          <w:b w:val="false"/>
          <w:i w:val="false"/>
          <w:color w:val="000000"/>
          <w:sz w:val="24"/>
        </w:rPr>
        <w:t>State or federal law(s) implemented by the rulemaking: Iowa Code section 321.89</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August 11, 2026</w:t>
            </w:r>
            <w:r>
              <w:br/>
            </w:r>
            <w:r>
              <w:rPr>
                <w:rFonts w:ascii="Times New Roman" w:hAnsi="Times New Roman"/>
                <w:b w:val="false"/>
                <w:i w:val="false"/>
                <w:color w:val="000000"/>
                <w:sz w:val="14"/>
              </w:rPr>
              <w:t>10 to 10:30 a.m.</w:t>
            </w:r>
          </w:p>
        </w:tc>
        <w:tc>
          <w:tcPr>
            <w:tcW w:w="5632" w:type="dxa"/>
            <w:tcBorders/>
            <w:tcMar>
              <w:top w:w="30" w:type="dxa"/>
              <w:left w:w="30" w:type="dxa"/>
              <w:bottom w:w="15" w:type="dxa"/>
              <w:right w:w="30" w:type="dxa"/>
            </w:tcMar>
            <w:vAlign w:val="top"/>
          </w:tcPr>
          <w:p>
            <w:pPr>
              <w:spacing w:before="0" w:after="0" w:line="264"/>
              <w:ind w:left="0"/>
              <w:jc w:val="left"/>
            </w:pPr>
            <w:hyperlink r:id="rId4">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448 370 828#</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Transportation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Sara Siedsma</w:t>
            </w:r>
            <w:r>
              <w:br/>
            </w:r>
            <w:r>
              <w:rPr>
                <w:rFonts w:ascii="Times New Roman" w:hAnsi="Times New Roman"/>
                <w:b w:val="false"/>
                <w:i w:val="false"/>
                <w:color w:val="000000"/>
                <w:sz w:val="14"/>
              </w:rPr>
              <w:t>6310 SE Convenience Boulevard</w:t>
            </w:r>
            <w:r>
              <w:br/>
            </w:r>
            <w:r>
              <w:rPr>
                <w:rFonts w:ascii="Times New Roman" w:hAnsi="Times New Roman"/>
                <w:b w:val="false"/>
                <w:i w:val="false"/>
                <w:color w:val="000000"/>
                <w:sz w:val="14"/>
              </w:rPr>
              <w:t>Ankeny, Iowa 50021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sara.siedsma@iowadot.us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amendment is to align the rules with 2026 Iowa Acts, House File 2617, section 2, which reduces from 20 days to 10 days the period within which the owner of an abandoned vehicle must be notified by the police authority or private entity that has taken custody of the abandoned vehicle.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or fees associated with this proposed rulemaking beyond those of the underlying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Persons subject to abandoned vehicle procedures will benefit from the administrative rules referencing the notification periods that were amended by the underlying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no quantitative impacts beyond those of the underlying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are no qualitative impacts beyond those of the underlying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implementation or enforcement costs beyond those of the underlying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anticipated effects on State revenues beyond those of the underlying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There is no benefit of inaction. The proposed amendment aligns the rules with the new notification time frame set forth in the underlying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less costly or less intrusive methods to achieve the purpose of the proposed rulemaking, which is to conform with underlying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did not consider alternatives for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impact on small business beyond those of the underlying statute.</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paragraphs </w:t>
      </w:r>
      <w:r>
        <w:rPr>
          <w:rFonts w:ascii="Times New Roman" w:hAnsi="Times New Roman"/>
          <w:b/>
          <w:i w:val="false"/>
          <w:color w:val="000000"/>
          <w:sz w:val="24"/>
        </w:rPr>
        <w:t>480.5(2)“a”</w:t>
      </w:r>
      <w:r>
        <w:rPr>
          <w:rFonts w:ascii="Times New Roman" w:hAnsi="Times New Roman"/>
          <w:b w:val="false"/>
          <w:i w:val="false"/>
          <w:color w:val="000000"/>
          <w:sz w:val="24"/>
        </w:rPr>
        <w:t xml:space="preserve"> and </w:t>
      </w:r>
      <w:r>
        <w:rPr>
          <w:rFonts w:ascii="Times New Roman" w:hAnsi="Times New Roman"/>
          <w:b/>
          <w:i w:val="false"/>
          <w:color w:val="000000"/>
          <w:sz w:val="24"/>
        </w:rPr>
        <w:t>480.5(2)“b”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police authority’s impound report showing the date the vehicle was taken into custody, including a complete description of the vehicle. The date of abandonment is the date the vehicle was taken into custody unless the police authority declares a different date of abandonment. The abandonment date shall be used to calculate the </w:t>
      </w:r>
      <w:r>
        <w:rPr>
          <w:rFonts w:ascii="Times New Roman" w:hAnsi="Times New Roman"/>
          <w:b w:val="false"/>
          <w:i w:val="false"/>
          <w:strike/>
          <w:color w:val="000000"/>
          <w:sz w:val="24"/>
        </w:rPr>
        <w:t>20-day</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ten-day</w:t>
      </w:r>
      <w:r>
        <w:rPr>
          <w:rFonts w:ascii="Times New Roman" w:hAnsi="Times New Roman"/>
          <w:b w:val="false"/>
          <w:i w:val="false"/>
          <w:color w:val="000000"/>
          <w:sz w:val="24"/>
        </w:rPr>
        <w:t xml:space="preserve"> notification required under Iowa Code section </w:t>
      </w:r>
      <w:hyperlink r:id="rId6">
        <w:r>
          <w:rPr>
            <w:rStyle w:val="Hyperlink"/>
            <w:rFonts w:ascii="Times New Roman" w:hAnsi="Times New Roman"/>
            <w:b w:val="false"/>
            <w:i w:val="false"/>
            <w:color w:val="000000"/>
            <w:sz w:val="24"/>
          </w:rPr>
          <w:t>321.89(3)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copy of the notice sent to the owner and lienholder(s) or proof of publication of notice. The notice must display a sent or published date within the </w:t>
      </w:r>
      <w:r>
        <w:rPr>
          <w:rFonts w:ascii="Times New Roman" w:hAnsi="Times New Roman"/>
          <w:b w:val="false"/>
          <w:i w:val="false"/>
          <w:strike/>
          <w:color w:val="000000"/>
          <w:sz w:val="24"/>
        </w:rPr>
        <w:t>20-day</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ten-day</w:t>
      </w:r>
      <w:r>
        <w:rPr>
          <w:rFonts w:ascii="Times New Roman" w:hAnsi="Times New Roman"/>
          <w:b w:val="false"/>
          <w:i w:val="false"/>
          <w:color w:val="000000"/>
          <w:sz w:val="24"/>
        </w:rPr>
        <w:t xml:space="preserve"> time frame required under Iowa Code section </w:t>
      </w:r>
      <w:hyperlink r:id="rId7">
        <w:r>
          <w:rPr>
            <w:rStyle w:val="Hyperlink"/>
            <w:rFonts w:ascii="Times New Roman" w:hAnsi="Times New Roman"/>
            <w:b w:val="false"/>
            <w:i w:val="false"/>
            <w:color w:val="000000"/>
            <w:sz w:val="24"/>
          </w:rPr>
          <w:t>321.89(3)</w:t>
        </w:r>
      </w:hyperlink>
      <w:r>
        <w:rPr>
          <w:rFonts w:ascii="Times New Roman" w:hAnsi="Times New Roman"/>
          <w:b w:val="false"/>
          <w:i w:val="false"/>
          <w:color w:val="000000"/>
          <w:sz w:val="24"/>
        </w:rPr>
        <w:t xml:space="preserve"> to qualify the claim for reimbursement.</w:t>
      </w:r>
    </w:p>
    <w:sectPr>
      <w:footerReference r:id="rId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teams.microsoft.com/meet/265135173536084?p=U0e1M0Ii5XMrIZU0Ys" Type="http://schemas.openxmlformats.org/officeDocument/2006/relationships/hyperlink" Id="rId4"/>
    <Relationship TargetMode="External" Target="mailto:sara.siedsma@iowadot.us" Type="http://schemas.openxmlformats.org/officeDocument/2006/relationships/hyperlink" Id="rId5"/>
    <Relationship TargetMode="External" Target="https://www.legis.iowa.gov/docs/ico/chapter/321.89.pdf" Type="http://schemas.openxmlformats.org/officeDocument/2006/relationships/hyperlink" Id="rId6"/>
    <Relationship TargetMode="External" Target="https://www.legis.iowa.gov/docs/ico/chapter/321.89.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